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1" w:rsidRPr="00BF79FA" w:rsidRDefault="008274B1" w:rsidP="008274B1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ПЛАТНЫХ УСЛУГ НАСЕЛЕНИЮ</w:t>
      </w:r>
    </w:p>
    <w:p w:rsidR="008274B1" w:rsidRDefault="008274B1" w:rsidP="008274B1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</w:p>
    <w:p w:rsidR="008274B1" w:rsidRPr="00BF79FA" w:rsidRDefault="008274B1" w:rsidP="008274B1">
      <w:pPr>
        <w:spacing w:after="12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>В январе-</w:t>
      </w:r>
      <w:r>
        <w:rPr>
          <w:rFonts w:ascii="Times New Roman" w:hAnsi="Times New Roman" w:cs="Times New Roman"/>
        </w:rPr>
        <w:t>октябр</w:t>
      </w:r>
      <w:r w:rsidRPr="00BF79FA">
        <w:rPr>
          <w:rFonts w:ascii="Times New Roman" w:hAnsi="Times New Roman" w:cs="Times New Roman"/>
        </w:rPr>
        <w:t xml:space="preserve">е 2020 года населению </w:t>
      </w:r>
      <w:r>
        <w:rPr>
          <w:rFonts w:ascii="Times New Roman" w:hAnsi="Times New Roman" w:cs="Times New Roman"/>
        </w:rPr>
        <w:t>г. Москвы</w:t>
      </w:r>
      <w:r w:rsidRPr="00BF79FA">
        <w:rPr>
          <w:rFonts w:ascii="Times New Roman" w:hAnsi="Times New Roman" w:cs="Times New Roman"/>
        </w:rPr>
        <w:t xml:space="preserve"> по предварительным данным было оказано платных услуг на </w:t>
      </w:r>
      <w:r>
        <w:rPr>
          <w:rFonts w:ascii="Times New Roman" w:hAnsi="Times New Roman" w:cs="Times New Roman"/>
        </w:rPr>
        <w:t>1219,7</w:t>
      </w:r>
      <w:r w:rsidRPr="00BF79FA">
        <w:rPr>
          <w:rFonts w:ascii="Times New Roman" w:hAnsi="Times New Roman" w:cs="Times New Roman"/>
        </w:rPr>
        <w:t xml:space="preserve"> миллиарда рублей, что составило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71,5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процента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соответствующему периоду 2019 года.</w:t>
      </w:r>
    </w:p>
    <w:tbl>
      <w:tblPr>
        <w:tblStyle w:val="af"/>
        <w:tblW w:w="0" w:type="auto"/>
        <w:jc w:val="center"/>
        <w:tblInd w:w="108" w:type="dxa"/>
        <w:tblLook w:val="04A0"/>
      </w:tblPr>
      <w:tblGrid>
        <w:gridCol w:w="4195"/>
        <w:gridCol w:w="2835"/>
        <w:gridCol w:w="2241"/>
      </w:tblGrid>
      <w:tr w:rsidR="008274B1" w:rsidTr="008750CB">
        <w:trPr>
          <w:trHeight w:val="113"/>
          <w:jc w:val="center"/>
        </w:trPr>
        <w:tc>
          <w:tcPr>
            <w:tcW w:w="4195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2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в % к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Merge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соответствующему периоду предыдущего года</w:t>
            </w:r>
          </w:p>
        </w:tc>
        <w:tc>
          <w:tcPr>
            <w:tcW w:w="2241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 xml:space="preserve">предыдущему периоду 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9271" w:type="dxa"/>
            <w:gridSpan w:val="3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86,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73.5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FD6A60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E05896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52,5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125,0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73,3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796DDF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59,8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4C7BCD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68,1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116,0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3A5463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  <w:r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105,8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AC5A45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97,0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Январь-октябрь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71,5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</w:tbl>
    <w:p w:rsidR="008274B1" w:rsidRDefault="008274B1" w:rsidP="008274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B1" w:rsidRDefault="008274B1" w:rsidP="008274B1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платных услуг населению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391275" cy="2971800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74B1" w:rsidRPr="00FC54CD" w:rsidRDefault="008274B1" w:rsidP="008274B1">
      <w:pPr>
        <w:spacing w:after="0" w:line="240" w:lineRule="auto"/>
        <w:jc w:val="both"/>
        <w:rPr>
          <w:sz w:val="18"/>
          <w:szCs w:val="18"/>
        </w:rPr>
      </w:pPr>
      <w:r w:rsidRPr="00853341">
        <w:rPr>
          <w:rFonts w:ascii="Arial" w:hAnsi="Arial" w:cs="Arial"/>
          <w:sz w:val="18"/>
          <w:szCs w:val="18"/>
          <w:vertAlign w:val="superscript"/>
        </w:rPr>
        <w:t>1</w:t>
      </w:r>
      <w:r w:rsidRPr="00FC54CD">
        <w:rPr>
          <w:rFonts w:ascii="Arial" w:hAnsi="Arial" w:cs="Arial"/>
          <w:sz w:val="16"/>
          <w:szCs w:val="16"/>
        </w:rPr>
        <w:t xml:space="preserve"> </w:t>
      </w:r>
      <w:r w:rsidRPr="00FC54CD">
        <w:rPr>
          <w:rStyle w:val="a8"/>
          <w:rFonts w:ascii="Arial" w:hAnsi="Arial" w:cs="Arial"/>
          <w:sz w:val="18"/>
          <w:szCs w:val="18"/>
        </w:rPr>
        <w:t xml:space="preserve"> </w:t>
      </w:r>
      <w:r w:rsidRPr="00853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Данные</w:t>
      </w:r>
      <w:r w:rsidRPr="00FC54CD">
        <w:rPr>
          <w:rFonts w:ascii="Arial" w:hAnsi="Arial" w:cs="Arial"/>
          <w:sz w:val="18"/>
          <w:szCs w:val="18"/>
        </w:rPr>
        <w:t xml:space="preserve"> изменены за счет уточнения респондентами предварительных данных за </w:t>
      </w:r>
      <w:r>
        <w:rPr>
          <w:rFonts w:ascii="Arial" w:hAnsi="Arial" w:cs="Arial"/>
          <w:sz w:val="18"/>
          <w:szCs w:val="18"/>
        </w:rPr>
        <w:t>сентябрь в отчете за октябрь.</w:t>
      </w:r>
    </w:p>
    <w:p w:rsidR="008274B1" w:rsidRDefault="008274B1" w:rsidP="008274B1">
      <w:pPr>
        <w:spacing w:line="288" w:lineRule="auto"/>
        <w:ind w:firstLine="709"/>
        <w:rPr>
          <w:rFonts w:ascii="Arial" w:hAnsi="Arial" w:cs="Arial"/>
        </w:rPr>
      </w:pPr>
    </w:p>
    <w:p w:rsidR="008274B1" w:rsidRPr="00BF79FA" w:rsidRDefault="008274B1" w:rsidP="008274B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платных услуг населению по видам</w:t>
      </w:r>
    </w:p>
    <w:tbl>
      <w:tblPr>
        <w:tblStyle w:val="af"/>
        <w:tblW w:w="9781" w:type="dxa"/>
        <w:tblInd w:w="108" w:type="dxa"/>
        <w:tblLayout w:type="fixed"/>
        <w:tblLook w:val="04A0"/>
      </w:tblPr>
      <w:tblGrid>
        <w:gridCol w:w="2552"/>
        <w:gridCol w:w="2268"/>
        <w:gridCol w:w="2410"/>
        <w:gridCol w:w="2551"/>
      </w:tblGrid>
      <w:tr w:rsidR="008274B1" w:rsidTr="008750CB">
        <w:trPr>
          <w:trHeight w:val="20"/>
        </w:trPr>
        <w:tc>
          <w:tcPr>
            <w:tcW w:w="2552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октябрь </w:t>
            </w: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 года</w:t>
            </w:r>
          </w:p>
        </w:tc>
      </w:tr>
      <w:tr w:rsidR="008274B1" w:rsidTr="008750CB">
        <w:trPr>
          <w:trHeight w:val="20"/>
        </w:trPr>
        <w:tc>
          <w:tcPr>
            <w:tcW w:w="2552" w:type="dxa"/>
            <w:vMerge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миллионов рублей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>в сопоставимых ценах    в % к</w:t>
            </w:r>
          </w:p>
        </w:tc>
      </w:tr>
      <w:tr w:rsidR="008274B1" w:rsidTr="008750CB">
        <w:trPr>
          <w:trHeight w:val="20"/>
        </w:trPr>
        <w:tc>
          <w:tcPr>
            <w:tcW w:w="2552" w:type="dxa"/>
            <w:vMerge/>
            <w:shd w:val="clear" w:color="auto" w:fill="B6DDE8" w:themeFill="accent5" w:themeFillTint="66"/>
          </w:tcPr>
          <w:p w:rsidR="008274B1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268" w:type="dxa"/>
            <w:vMerge/>
            <w:shd w:val="clear" w:color="auto" w:fill="B6DDE8" w:themeFill="accent5" w:themeFillTint="66"/>
          </w:tcPr>
          <w:p w:rsidR="008274B1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оответствующему периоду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предыду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щего 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итогу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Платные услуги</w:t>
            </w:r>
          </w:p>
        </w:tc>
        <w:tc>
          <w:tcPr>
            <w:tcW w:w="2268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1219669,7</w:t>
            </w:r>
          </w:p>
        </w:tc>
        <w:tc>
          <w:tcPr>
            <w:tcW w:w="2410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71,5</w:t>
            </w:r>
          </w:p>
        </w:tc>
        <w:tc>
          <w:tcPr>
            <w:tcW w:w="2551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 w:rsidRPr="00BF79FA">
              <w:rPr>
                <w:rFonts w:ascii="Arial" w:eastAsia="Times New Roman" w:hAnsi="Arial" w:cs="Arial"/>
                <w:bCs/>
                <w:sz w:val="18"/>
                <w:szCs w:val="21"/>
              </w:rPr>
              <w:t>100,0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бытовые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68198,9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89,9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5,6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транспортные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335058,8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48,1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27,5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почтовой связи,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курьерские услуги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7927,4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121,9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0,6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телекоммуникационные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230731,2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spacing w:before="108" w:after="108"/>
              <w:ind w:left="227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93,3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spacing w:before="108" w:after="108"/>
              <w:ind w:left="227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18,9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коммунальные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151887,7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87,1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12,5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жилищные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76720,8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98,5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6,3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учреждений культуры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17631,2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49,6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1,4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9013,3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47,4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0,7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гостиниц и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аналогичные услуги по предоставлению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временного жилья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17852,7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40,9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1,5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физической культуры и спорта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10638,2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64,2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0,9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медицинские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103705,9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95,2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8,5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специализированных коллективных средств размещения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1944,6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90,6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0,2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санаторно-курортных организаций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1905,9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112,2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0,2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ветеринарные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1164,6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62,4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0,1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юридические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16095,6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94,8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1,3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системы образования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104051,6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98,2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8,5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услуги, предоставляемые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гражданам пожилого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возраста и инвалидам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708,6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70,1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0,1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881552" w:rsidRDefault="008274B1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прочие виды платных услуг</w:t>
            </w:r>
          </w:p>
        </w:tc>
        <w:tc>
          <w:tcPr>
            <w:tcW w:w="2268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66338,6</w:t>
            </w:r>
          </w:p>
        </w:tc>
        <w:tc>
          <w:tcPr>
            <w:tcW w:w="2410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88,1</w:t>
            </w:r>
          </w:p>
        </w:tc>
        <w:tc>
          <w:tcPr>
            <w:tcW w:w="2551" w:type="dxa"/>
            <w:vAlign w:val="bottom"/>
          </w:tcPr>
          <w:p w:rsidR="008274B1" w:rsidRPr="00881552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5,4</w:t>
            </w:r>
          </w:p>
        </w:tc>
      </w:tr>
    </w:tbl>
    <w:p w:rsidR="00A718B6" w:rsidRPr="00BC2482" w:rsidRDefault="00A718B6" w:rsidP="00387C18">
      <w:pPr>
        <w:pageBreakBefore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платных услуг населению </w:t>
      </w: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январе-</w:t>
      </w:r>
      <w:r w:rsidR="0085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3F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тябре</w:t>
      </w:r>
      <w:r w:rsidR="008C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A718B6" w:rsidRPr="00C42E64" w:rsidRDefault="00A718B6" w:rsidP="00A718B6">
      <w:pPr>
        <w:spacing w:line="288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  <w:lang w:eastAsia="ru-RU"/>
        </w:rPr>
        <w:drawing>
          <wp:inline distT="0" distB="0" distL="0" distR="0">
            <wp:extent cx="5433646" cy="807133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718B6" w:rsidRPr="00C42E64" w:rsidSect="00F8048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27" w:rsidRDefault="005D6D27" w:rsidP="002A53DB">
      <w:pPr>
        <w:spacing w:after="0" w:line="240" w:lineRule="auto"/>
      </w:pPr>
      <w:r>
        <w:separator/>
      </w:r>
    </w:p>
  </w:endnote>
  <w:endnote w:type="continuationSeparator" w:id="1">
    <w:p w:rsidR="005D6D27" w:rsidRDefault="005D6D2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27" w:rsidRDefault="005D6D27" w:rsidP="002A53DB">
      <w:pPr>
        <w:spacing w:after="0" w:line="240" w:lineRule="auto"/>
      </w:pPr>
      <w:r>
        <w:separator/>
      </w:r>
    </w:p>
  </w:footnote>
  <w:footnote w:type="continuationSeparator" w:id="1">
    <w:p w:rsidR="005D6D27" w:rsidRDefault="005D6D2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E4"/>
    <w:rsid w:val="00012CBF"/>
    <w:rsid w:val="00020A71"/>
    <w:rsid w:val="0002540A"/>
    <w:rsid w:val="000317BB"/>
    <w:rsid w:val="00037273"/>
    <w:rsid w:val="00052D05"/>
    <w:rsid w:val="00056063"/>
    <w:rsid w:val="000605A1"/>
    <w:rsid w:val="00060A65"/>
    <w:rsid w:val="00067960"/>
    <w:rsid w:val="00091316"/>
    <w:rsid w:val="000A1302"/>
    <w:rsid w:val="000C0E32"/>
    <w:rsid w:val="000E11A9"/>
    <w:rsid w:val="000F0592"/>
    <w:rsid w:val="000F10C0"/>
    <w:rsid w:val="00132350"/>
    <w:rsid w:val="00161447"/>
    <w:rsid w:val="001706B4"/>
    <w:rsid w:val="00172EE0"/>
    <w:rsid w:val="00173BAE"/>
    <w:rsid w:val="0019107B"/>
    <w:rsid w:val="00195797"/>
    <w:rsid w:val="001E30D9"/>
    <w:rsid w:val="001E3E1D"/>
    <w:rsid w:val="001F425B"/>
    <w:rsid w:val="00202D29"/>
    <w:rsid w:val="00213A91"/>
    <w:rsid w:val="00220BF4"/>
    <w:rsid w:val="002467F6"/>
    <w:rsid w:val="00252547"/>
    <w:rsid w:val="00280465"/>
    <w:rsid w:val="00281637"/>
    <w:rsid w:val="00283B3E"/>
    <w:rsid w:val="002A53DB"/>
    <w:rsid w:val="002B4884"/>
    <w:rsid w:val="002C2DE2"/>
    <w:rsid w:val="002C7CC4"/>
    <w:rsid w:val="002E66A5"/>
    <w:rsid w:val="002F1CE7"/>
    <w:rsid w:val="002F36B6"/>
    <w:rsid w:val="002F58B7"/>
    <w:rsid w:val="00300115"/>
    <w:rsid w:val="0030627F"/>
    <w:rsid w:val="00306AEB"/>
    <w:rsid w:val="00311094"/>
    <w:rsid w:val="00325854"/>
    <w:rsid w:val="00336116"/>
    <w:rsid w:val="00387C18"/>
    <w:rsid w:val="0039282B"/>
    <w:rsid w:val="003A758F"/>
    <w:rsid w:val="003B54ED"/>
    <w:rsid w:val="003B68D6"/>
    <w:rsid w:val="003C7DDB"/>
    <w:rsid w:val="003D3099"/>
    <w:rsid w:val="003D5AB6"/>
    <w:rsid w:val="003E20AA"/>
    <w:rsid w:val="003E2962"/>
    <w:rsid w:val="003F5A2F"/>
    <w:rsid w:val="00416513"/>
    <w:rsid w:val="00421D1F"/>
    <w:rsid w:val="004244D2"/>
    <w:rsid w:val="00440DEC"/>
    <w:rsid w:val="00444B21"/>
    <w:rsid w:val="00455EC1"/>
    <w:rsid w:val="00466785"/>
    <w:rsid w:val="00466928"/>
    <w:rsid w:val="004E3507"/>
    <w:rsid w:val="004E4D11"/>
    <w:rsid w:val="005042E7"/>
    <w:rsid w:val="00512E9C"/>
    <w:rsid w:val="005216E1"/>
    <w:rsid w:val="005360A9"/>
    <w:rsid w:val="00554D8B"/>
    <w:rsid w:val="00560E24"/>
    <w:rsid w:val="0056592D"/>
    <w:rsid w:val="0057701D"/>
    <w:rsid w:val="005972E9"/>
    <w:rsid w:val="005A1FEA"/>
    <w:rsid w:val="005A55B3"/>
    <w:rsid w:val="005C238E"/>
    <w:rsid w:val="005D01A9"/>
    <w:rsid w:val="005D1BC8"/>
    <w:rsid w:val="005D6D27"/>
    <w:rsid w:val="005E2722"/>
    <w:rsid w:val="005E57DB"/>
    <w:rsid w:val="005F12CD"/>
    <w:rsid w:val="005F57B9"/>
    <w:rsid w:val="006077F9"/>
    <w:rsid w:val="0061346A"/>
    <w:rsid w:val="006167E1"/>
    <w:rsid w:val="00662AA2"/>
    <w:rsid w:val="00667B88"/>
    <w:rsid w:val="00681CF4"/>
    <w:rsid w:val="006957E4"/>
    <w:rsid w:val="0069772C"/>
    <w:rsid w:val="006E05FC"/>
    <w:rsid w:val="006E5792"/>
    <w:rsid w:val="0072167F"/>
    <w:rsid w:val="00726902"/>
    <w:rsid w:val="007332C7"/>
    <w:rsid w:val="007403D3"/>
    <w:rsid w:val="0074068C"/>
    <w:rsid w:val="007565EF"/>
    <w:rsid w:val="00790343"/>
    <w:rsid w:val="007A57C1"/>
    <w:rsid w:val="007C6A8E"/>
    <w:rsid w:val="00804622"/>
    <w:rsid w:val="008056BA"/>
    <w:rsid w:val="008109EF"/>
    <w:rsid w:val="00811384"/>
    <w:rsid w:val="008150BE"/>
    <w:rsid w:val="00825756"/>
    <w:rsid w:val="008274B1"/>
    <w:rsid w:val="00827A57"/>
    <w:rsid w:val="00833425"/>
    <w:rsid w:val="00844083"/>
    <w:rsid w:val="00851C18"/>
    <w:rsid w:val="00851C3F"/>
    <w:rsid w:val="0085781E"/>
    <w:rsid w:val="00864A74"/>
    <w:rsid w:val="008768A8"/>
    <w:rsid w:val="00881552"/>
    <w:rsid w:val="008819D7"/>
    <w:rsid w:val="008854EB"/>
    <w:rsid w:val="00891221"/>
    <w:rsid w:val="00897F26"/>
    <w:rsid w:val="008B7E40"/>
    <w:rsid w:val="008C28F5"/>
    <w:rsid w:val="008C3275"/>
    <w:rsid w:val="008C698E"/>
    <w:rsid w:val="008E1299"/>
    <w:rsid w:val="008F01CE"/>
    <w:rsid w:val="008F7455"/>
    <w:rsid w:val="00922E44"/>
    <w:rsid w:val="00930EA0"/>
    <w:rsid w:val="0093598B"/>
    <w:rsid w:val="009641E6"/>
    <w:rsid w:val="00966E52"/>
    <w:rsid w:val="00973C44"/>
    <w:rsid w:val="009A5429"/>
    <w:rsid w:val="009E47D1"/>
    <w:rsid w:val="009F1F96"/>
    <w:rsid w:val="009F593D"/>
    <w:rsid w:val="00A05272"/>
    <w:rsid w:val="00A1180D"/>
    <w:rsid w:val="00A126B0"/>
    <w:rsid w:val="00A1778E"/>
    <w:rsid w:val="00A269A3"/>
    <w:rsid w:val="00A30073"/>
    <w:rsid w:val="00A718B6"/>
    <w:rsid w:val="00A83538"/>
    <w:rsid w:val="00A85249"/>
    <w:rsid w:val="00A86041"/>
    <w:rsid w:val="00A8677A"/>
    <w:rsid w:val="00A914EE"/>
    <w:rsid w:val="00AA4DB4"/>
    <w:rsid w:val="00AA5796"/>
    <w:rsid w:val="00AC2DB7"/>
    <w:rsid w:val="00AC421D"/>
    <w:rsid w:val="00AC5004"/>
    <w:rsid w:val="00AD4421"/>
    <w:rsid w:val="00AF1627"/>
    <w:rsid w:val="00AF7B2A"/>
    <w:rsid w:val="00B12C44"/>
    <w:rsid w:val="00B14AD8"/>
    <w:rsid w:val="00B25AA8"/>
    <w:rsid w:val="00B47839"/>
    <w:rsid w:val="00B62A74"/>
    <w:rsid w:val="00B7345E"/>
    <w:rsid w:val="00B82852"/>
    <w:rsid w:val="00B936D6"/>
    <w:rsid w:val="00B967FD"/>
    <w:rsid w:val="00BA0F25"/>
    <w:rsid w:val="00BA58E4"/>
    <w:rsid w:val="00BC2482"/>
    <w:rsid w:val="00BC57D0"/>
    <w:rsid w:val="00BD37E0"/>
    <w:rsid w:val="00BD3B1F"/>
    <w:rsid w:val="00BF1BC0"/>
    <w:rsid w:val="00BF7805"/>
    <w:rsid w:val="00C02A08"/>
    <w:rsid w:val="00C42E64"/>
    <w:rsid w:val="00C548F9"/>
    <w:rsid w:val="00C80968"/>
    <w:rsid w:val="00C811D9"/>
    <w:rsid w:val="00C92420"/>
    <w:rsid w:val="00CD2036"/>
    <w:rsid w:val="00CF407E"/>
    <w:rsid w:val="00CF4917"/>
    <w:rsid w:val="00D01F9B"/>
    <w:rsid w:val="00D03138"/>
    <w:rsid w:val="00D04EDB"/>
    <w:rsid w:val="00D16BA0"/>
    <w:rsid w:val="00D612EC"/>
    <w:rsid w:val="00D75E71"/>
    <w:rsid w:val="00DA3533"/>
    <w:rsid w:val="00DA3F16"/>
    <w:rsid w:val="00DB5169"/>
    <w:rsid w:val="00DB7740"/>
    <w:rsid w:val="00DC3FF3"/>
    <w:rsid w:val="00DD25B2"/>
    <w:rsid w:val="00E25EBE"/>
    <w:rsid w:val="00E26B47"/>
    <w:rsid w:val="00E3464B"/>
    <w:rsid w:val="00E47E29"/>
    <w:rsid w:val="00E507EA"/>
    <w:rsid w:val="00E6511E"/>
    <w:rsid w:val="00E878B8"/>
    <w:rsid w:val="00EB7C90"/>
    <w:rsid w:val="00EC3928"/>
    <w:rsid w:val="00ED11AC"/>
    <w:rsid w:val="00EE1312"/>
    <w:rsid w:val="00EE4C70"/>
    <w:rsid w:val="00F212B9"/>
    <w:rsid w:val="00F27E46"/>
    <w:rsid w:val="00F33256"/>
    <w:rsid w:val="00F34CAF"/>
    <w:rsid w:val="00F35782"/>
    <w:rsid w:val="00F65F02"/>
    <w:rsid w:val="00F80480"/>
    <w:rsid w:val="00FA2439"/>
    <w:rsid w:val="00FB0934"/>
    <w:rsid w:val="00FB3191"/>
    <w:rsid w:val="00FD4899"/>
    <w:rsid w:val="00FF116D"/>
    <w:rsid w:val="00FF57B8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B"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851E-2"/>
          <c:y val="0.14621475200215467"/>
          <c:w val="0.97102833601460248"/>
          <c:h val="0.582340332458446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9318686837332167E-2"/>
                  <c:y val="-5.4639948852548095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3.5181670094220255E-2"/>
                  <c:y val="-6.4407766336901026E-2"/>
                </c:manualLayout>
              </c:layout>
              <c:showVal val="1"/>
            </c:dLbl>
            <c:dLbl>
              <c:idx val="2"/>
              <c:layout>
                <c:manualLayout>
                  <c:x val="-3.9318849782574536E-2"/>
                  <c:y val="6.4712968571237914E-2"/>
                </c:manualLayout>
              </c:layout>
              <c:showVal val="1"/>
            </c:dLbl>
            <c:dLbl>
              <c:idx val="3"/>
              <c:layout>
                <c:manualLayout>
                  <c:x val="-4.5691822054284945E-2"/>
                  <c:y val="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5.5873923400419523E-2"/>
                  <c:y val="5.4334410121813857E-2"/>
                </c:manualLayout>
              </c:layout>
              <c:showVal val="1"/>
            </c:dLbl>
            <c:dLbl>
              <c:idx val="5"/>
              <c:layout>
                <c:manualLayout>
                  <c:x val="-1.4485831992701361E-2"/>
                  <c:y val="5.5555555555555455E-2"/>
                </c:manualLayout>
              </c:layout>
              <c:showVal val="1"/>
            </c:dLbl>
            <c:dLbl>
              <c:idx val="6"/>
              <c:layout>
                <c:manualLayout>
                  <c:x val="-3.8742504429867292E-2"/>
                  <c:y val="6.4102564102564139E-2"/>
                </c:manualLayout>
              </c:layout>
              <c:showVal val="1"/>
            </c:dLbl>
            <c:dLbl>
              <c:idx val="7"/>
              <c:layout>
                <c:manualLayout>
                  <c:x val="-3.9318758776613456E-2"/>
                  <c:y val="5.5555555555555455E-2"/>
                </c:manualLayout>
              </c:layout>
              <c:showVal val="1"/>
            </c:dLbl>
            <c:dLbl>
              <c:idx val="8"/>
              <c:layout>
                <c:manualLayout>
                  <c:x val="-3.1123367403217955E-2"/>
                  <c:y val="3.8461538461538484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-2.9806259314456036E-2"/>
                  <c:y val="5.555555555555553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 formatCode="0.0">
                  <c:v>57.3</c:v>
                </c:pt>
                <c:pt idx="4">
                  <c:v>44.7</c:v>
                </c:pt>
                <c:pt idx="5">
                  <c:v>52.5</c:v>
                </c:pt>
                <c:pt idx="6">
                  <c:v>59.8</c:v>
                </c:pt>
                <c:pt idx="7">
                  <c:v>68.099999999999994</c:v>
                </c:pt>
                <c:pt idx="8">
                  <c:v>75.400000000000006</c:v>
                </c:pt>
                <c:pt idx="9">
                  <c:v>74.099999999999994</c:v>
                </c:pt>
              </c:numCache>
            </c:numRef>
          </c:val>
        </c:ser>
        <c:marker val="1"/>
        <c:axId val="53265152"/>
        <c:axId val="53266688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7596305118875894E-2"/>
                  <c:y val="6.8376068376068383E-2"/>
                </c:manualLayout>
              </c:layout>
              <c:showVal val="1"/>
            </c:dLbl>
            <c:dLbl>
              <c:idx val="1"/>
              <c:layout>
                <c:manualLayout>
                  <c:x val="-4.7596468064117922E-2"/>
                  <c:y val="5.9828723332660524E-2"/>
                </c:manualLayout>
              </c:layout>
              <c:showVal val="1"/>
            </c:dLbl>
            <c:dLbl>
              <c:idx val="2"/>
              <c:layout>
                <c:manualLayout>
                  <c:x val="-6.2082137111578719E-3"/>
                  <c:y val="-1.9841269841270354E-2"/>
                </c:manualLayout>
              </c:layout>
              <c:showVal val="1"/>
            </c:dLbl>
            <c:dLbl>
              <c:idx val="3"/>
              <c:layout>
                <c:manualLayout>
                  <c:x val="-3.7249282266947042E-2"/>
                  <c:y val="-6.349249613029409E-2"/>
                </c:manualLayout>
              </c:layout>
              <c:showVal val="1"/>
            </c:dLbl>
            <c:dLbl>
              <c:idx val="4"/>
              <c:layout>
                <c:manualLayout>
                  <c:x val="-3.9318686837332167E-2"/>
                  <c:y val="-5.5555555555555455E-2"/>
                </c:manualLayout>
              </c:layout>
              <c:showVal val="1"/>
            </c:dLbl>
            <c:dLbl>
              <c:idx val="5"/>
              <c:layout>
                <c:manualLayout>
                  <c:x val="-4.1388091407718923E-2"/>
                  <c:y val="-6.8376068376068383E-2"/>
                </c:manualLayout>
              </c:layout>
              <c:showVal val="1"/>
            </c:dLbl>
            <c:dLbl>
              <c:idx val="6"/>
              <c:layout>
                <c:manualLayout>
                  <c:x val="-3.6755420475570455E-2"/>
                  <c:y val="-6.8376068376068383E-2"/>
                </c:manualLayout>
              </c:layout>
              <c:showVal val="1"/>
            </c:dLbl>
            <c:dLbl>
              <c:idx val="7"/>
              <c:layout>
                <c:manualLayout>
                  <c:x val="-3.4850636218907806E-2"/>
                  <c:y val="-6.4102564102564139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4.5702930948832855E-2"/>
                  <c:y val="-6.8376068376068383E-2"/>
                </c:manualLayout>
              </c:layout>
              <c:showVal val="1"/>
            </c:dLbl>
            <c:dLbl>
              <c:idx val="9"/>
              <c:layout>
                <c:manualLayout>
                  <c:x val="-2.5832091405862012E-2"/>
                  <c:y val="-5.1282051282051294E-2"/>
                </c:manualLayout>
              </c:layout>
              <c:showVal val="1"/>
            </c:dLbl>
            <c:delete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 formatCode="0.0">
                  <c:v>125</c:v>
                </c:pt>
                <c:pt idx="6">
                  <c:v>117.3</c:v>
                </c:pt>
                <c:pt idx="7">
                  <c:v>116</c:v>
                </c:pt>
                <c:pt idx="8">
                  <c:v>105.8</c:v>
                </c:pt>
                <c:pt idx="9" formatCode="0.0">
                  <c:v>97</c:v>
                </c:pt>
              </c:numCache>
            </c:numRef>
          </c:val>
        </c:ser>
        <c:marker val="1"/>
        <c:axId val="87561728"/>
        <c:axId val="87560192"/>
      </c:lineChart>
      <c:catAx>
        <c:axId val="53265152"/>
        <c:scaling>
          <c:orientation val="minMax"/>
        </c:scaling>
        <c:axPos val="b"/>
        <c:tickLblPos val="nextTo"/>
        <c:crossAx val="53266688"/>
        <c:crosses val="autoZero"/>
        <c:auto val="1"/>
        <c:lblAlgn val="ctr"/>
        <c:lblOffset val="100"/>
      </c:catAx>
      <c:valAx>
        <c:axId val="53266688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53265152"/>
        <c:crosses val="autoZero"/>
        <c:crossBetween val="between"/>
        <c:majorUnit val="40"/>
      </c:valAx>
      <c:valAx>
        <c:axId val="87560192"/>
        <c:scaling>
          <c:orientation val="minMax"/>
        </c:scaling>
        <c:axPos val="r"/>
        <c:numFmt formatCode="General" sourceLinked="1"/>
        <c:tickLblPos val="none"/>
        <c:crossAx val="87561728"/>
        <c:crosses val="max"/>
        <c:crossBetween val="between"/>
      </c:valAx>
      <c:catAx>
        <c:axId val="87561728"/>
        <c:scaling>
          <c:orientation val="minMax"/>
        </c:scaling>
        <c:delete val="1"/>
        <c:axPos val="b"/>
        <c:tickLblPos val="nextTo"/>
        <c:crossAx val="8756019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9649190300652002E-2"/>
          <c:y val="0.91289870016247965"/>
          <c:w val="0.93045461359963899"/>
          <c:h val="6.329177602799690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2542"/>
          <c:y val="4.7016856960543238E-2"/>
          <c:w val="0.75194409057933165"/>
          <c:h val="0.489627982182795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655E-2"/>
                  <c:y val="-5.1280215091944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-9.2530030133722539E-3"/>
                  <c:y val="-5.63694885682901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1653501166619985E-2"/>
                  <c:y val="5.935571029239572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1.0392101362510554E-2"/>
                  <c:y val="2.3256367159943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-5.4866474555022651E-3"/>
                  <c:y val="4.302384028226290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1.5531468189131203E-2"/>
                  <c:y val="-1.44796297119969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-1.1984586408463137E-2"/>
                  <c:y val="-2.743534870732111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6828593544739573E-3"/>
                  <c:y val="-5.500203312015927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3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B3-4424-BF87-56061F6983B9}"/>
                </c:ext>
              </c:extLst>
            </c:dLbl>
            <c:dLbl>
              <c:idx val="9"/>
              <c:layout>
                <c:manualLayout>
                  <c:x val="2.81348840171038E-2"/>
                  <c:y val="-1.48096864720958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4092E-2"/>
                  <c:y val="-4.383411476088415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247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2.967657444007215E-2"/>
                  <c:y val="-5.909305247779226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2932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1.2165496243222327E-2"/>
                  <c:y val="9.277271094672145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5.6</c:v>
                </c:pt>
                <c:pt idx="1">
                  <c:v>27.5</c:v>
                </c:pt>
                <c:pt idx="2">
                  <c:v>0.60000000000000009</c:v>
                </c:pt>
                <c:pt idx="3">
                  <c:v>18.899999999999999</c:v>
                </c:pt>
                <c:pt idx="4">
                  <c:v>6.3</c:v>
                </c:pt>
                <c:pt idx="5" formatCode="0.0">
                  <c:v>12.5</c:v>
                </c:pt>
                <c:pt idx="6">
                  <c:v>1.4</c:v>
                </c:pt>
                <c:pt idx="7" formatCode="0.0">
                  <c:v>0.70000000000000007</c:v>
                </c:pt>
                <c:pt idx="8">
                  <c:v>1.5</c:v>
                </c:pt>
                <c:pt idx="9">
                  <c:v>0.9</c:v>
                </c:pt>
                <c:pt idx="10">
                  <c:v>8.5</c:v>
                </c:pt>
                <c:pt idx="11">
                  <c:v>0.2</c:v>
                </c:pt>
                <c:pt idx="12">
                  <c:v>1.3</c:v>
                </c:pt>
                <c:pt idx="13" formatCode="0.0">
                  <c:v>8.5</c:v>
                </c:pt>
                <c:pt idx="14" formatCode="0.0">
                  <c:v>0.1</c:v>
                </c:pt>
                <c:pt idx="15" formatCode="0.0">
                  <c:v>0.1</c:v>
                </c:pt>
                <c:pt idx="16" formatCode="0.0">
                  <c:v>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48976452294368028"/>
          <c:w val="0.95867305304762263"/>
          <c:h val="0.49106845840572427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0.78164</cdr:x>
      <cdr:y>0.01426</cdr:y>
    </cdr:from>
    <cdr:to>
      <cdr:x>0.95642</cdr:x>
      <cdr:y>0.05447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46673" y="115099"/>
          <a:ext cx="949591" cy="324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7CC9-10CF-43EC-9D74-0B69DF36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5</cp:revision>
  <cp:lastPrinted>2020-11-19T13:16:00Z</cp:lastPrinted>
  <dcterms:created xsi:type="dcterms:W3CDTF">2020-11-23T08:22:00Z</dcterms:created>
  <dcterms:modified xsi:type="dcterms:W3CDTF">2020-11-23T08:28:00Z</dcterms:modified>
</cp:coreProperties>
</file>